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D7" w:rsidRPr="003575D7" w:rsidRDefault="003575D7" w:rsidP="003575D7">
      <w:pPr>
        <w:spacing w:before="100" w:beforeAutospacing="1" w:after="100" w:afterAutospacing="1" w:line="240" w:lineRule="auto"/>
        <w:jc w:val="center"/>
        <w:outlineLvl w:val="0"/>
        <w:rPr>
          <w:rFonts w:eastAsia="Times New Roman" w:cs="Times New Roman"/>
          <w:b/>
          <w:bCs/>
          <w:kern w:val="36"/>
          <w:sz w:val="32"/>
          <w:szCs w:val="32"/>
          <w:lang w:eastAsia="de-DE"/>
        </w:rPr>
      </w:pPr>
      <w:r w:rsidRPr="003575D7">
        <w:rPr>
          <w:rFonts w:eastAsia="Times New Roman" w:cs="Times New Roman"/>
          <w:b/>
          <w:bCs/>
          <w:kern w:val="36"/>
          <w:sz w:val="32"/>
          <w:szCs w:val="32"/>
          <w:lang w:eastAsia="de-DE"/>
        </w:rPr>
        <w:t>Streit um SGB-II-Sanktionen</w:t>
      </w:r>
    </w:p>
    <w:p w:rsidR="003575D7" w:rsidRPr="003575D7" w:rsidRDefault="003575D7" w:rsidP="003575D7">
      <w:pPr>
        <w:spacing w:before="100" w:beforeAutospacing="1" w:after="100" w:afterAutospacing="1" w:line="240" w:lineRule="auto"/>
        <w:outlineLvl w:val="1"/>
        <w:rPr>
          <w:rFonts w:eastAsia="Times New Roman" w:cs="Times New Roman"/>
          <w:b/>
          <w:bCs/>
          <w:lang w:eastAsia="de-DE"/>
        </w:rPr>
      </w:pPr>
      <w:r w:rsidRPr="003575D7">
        <w:rPr>
          <w:rFonts w:eastAsia="Times New Roman" w:cs="Times New Roman"/>
          <w:b/>
          <w:bCs/>
          <w:lang w:eastAsia="de-DE"/>
        </w:rPr>
        <w:t>Arbeit und Soziales/Anhörung - 29.06.2015</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Berlin: (</w:t>
      </w:r>
      <w:proofErr w:type="spellStart"/>
      <w:r w:rsidRPr="003575D7">
        <w:rPr>
          <w:rFonts w:eastAsia="Times New Roman" w:cs="Times New Roman"/>
          <w:lang w:eastAsia="de-DE"/>
        </w:rPr>
        <w:t>hib</w:t>
      </w:r>
      <w:proofErr w:type="spellEnd"/>
      <w:r w:rsidRPr="003575D7">
        <w:rPr>
          <w:rFonts w:eastAsia="Times New Roman" w:cs="Times New Roman"/>
          <w:lang w:eastAsia="de-DE"/>
        </w:rPr>
        <w:t>/HAU) Bei einer öffentlichen Anhörung des Ausschusses für Arbeit und Soziales am Montagnachmittag sprach sich eine Mehrheit der geladenen Experten für die Beibehaltung von Sanktionsmöglichkeiten im Bereich der Grundsicherung für Arbeitssuchende (SGB II) aus. Vertreter aus dem Bereich der Wirtschaft nannten das System der Sanktionen ausgewogen. Auch Landkreistag und Städtetag sprachen sich - ebenso wie der Deutsche Gewerkschaftsbund (DGB) gegen eine generelle Abschaffung oder ein Moratorium der Sanktionen aus, wie es die Fraktionen Die Linke (</w:t>
      </w:r>
      <w:hyperlink r:id="rId4" w:tgtFrame="_blank" w:tooltip="Die PDF-Datei Drucksache 18/3549 öffnet sich in einem neuen Fenster" w:history="1">
        <w:r w:rsidRPr="003575D7">
          <w:rPr>
            <w:rFonts w:eastAsia="Times New Roman" w:cs="Times New Roman"/>
            <w:color w:val="0000FF"/>
            <w:u w:val="single"/>
            <w:lang w:eastAsia="de-DE"/>
          </w:rPr>
          <w:t>18/3549</w:t>
        </w:r>
      </w:hyperlink>
      <w:r w:rsidRPr="003575D7">
        <w:rPr>
          <w:rFonts w:eastAsia="Times New Roman" w:cs="Times New Roman"/>
          <w:lang w:eastAsia="de-DE"/>
        </w:rPr>
        <w:t xml:space="preserve">, </w:t>
      </w:r>
      <w:hyperlink r:id="rId5" w:tgtFrame="_blank" w:tooltip="Die PDF-Datei Drucksache 18/1115 öffnet sich in einem neuen Fenster" w:history="1">
        <w:r w:rsidRPr="003575D7">
          <w:rPr>
            <w:rFonts w:eastAsia="Times New Roman" w:cs="Times New Roman"/>
            <w:color w:val="0000FF"/>
            <w:u w:val="single"/>
            <w:lang w:eastAsia="de-DE"/>
          </w:rPr>
          <w:t>18/1115</w:t>
        </w:r>
      </w:hyperlink>
      <w:r w:rsidRPr="003575D7">
        <w:rPr>
          <w:rFonts w:eastAsia="Times New Roman" w:cs="Times New Roman"/>
          <w:lang w:eastAsia="de-DE"/>
        </w:rPr>
        <w:t>) und Bündnis 90/Die Grünen (</w:t>
      </w:r>
      <w:hyperlink r:id="rId6" w:tgtFrame="_blank" w:tooltip="Die PDF-Datei Drucksache 18/1963 öffnet sich in einem neuen Fenster" w:history="1">
        <w:r w:rsidRPr="003575D7">
          <w:rPr>
            <w:rFonts w:eastAsia="Times New Roman" w:cs="Times New Roman"/>
            <w:color w:val="0000FF"/>
            <w:u w:val="single"/>
            <w:lang w:eastAsia="de-DE"/>
          </w:rPr>
          <w:t>18/1963</w:t>
        </w:r>
      </w:hyperlink>
      <w:r w:rsidRPr="003575D7">
        <w:rPr>
          <w:rFonts w:eastAsia="Times New Roman" w:cs="Times New Roman"/>
          <w:lang w:eastAsia="de-DE"/>
        </w:rPr>
        <w:t>) in Anträgen gefordert hatten. Eine klare Ablehnung der Sanktionsregelungen kam von der Diakonie Deutschland.</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Aus Sicht der Bundesvereinigung Deutscher Arbeitgeberverbände (BDA) sind die "großen Erfolge" bei der Integration Langzeitarbeitsloser in den Arbeitsmarkt auch auf die Sanktionen zurückzuführen. Diese seien ein Kernelement des Prinzips von "Fördern und Fordern", hieß es von der BDA ebenso wie vom Zentralverband des Deutschen Handwerks (ZDH). Die Regelung, wonach Unter-25-Jährige härtere Sanktionen befürchten müssen als Über-25-Jährige, ist nach Meinung der Vereinigung der Bayrischen Wirtschaft angemessen. Auch die BDA vertrat die Ansicht, dass diese Sanktionen zu einer stärkeren Kooperation der Arbeitssuchenden mit den Jobcentern führen würden. Von einer Abschwächung solle daher abgesehen werden, sagte die BDA-Vertreterin.</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Ob die Sanktionen tatsächlich die erwähnten positiven Effekte erzielen ist hingegen nach Ansicht des Einzelsachverständigen Helmut Apel nicht wissenschaftlich nachweisbar. Festzustellen sei aber, so der Sozialwissenschaftler, dass die Sanktionen "gravierende Auswirkungen" auf das Leben der Betroffenen hätten. Apel sprach sich für ein Moratorium bei den Sanktionen aus, "um darüber nachzudenken, was Angemessenheit im Falle der Sanktionen bedeutet".</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 xml:space="preserve">Unterschiedliche Regelungen für verschiedene Altersgruppen führten zu Intransparenz, sagte der Vertreter der Bundesagentur für Arbeit (BA). Zugleich machte er deutlich, dass </w:t>
      </w:r>
      <w:proofErr w:type="gramStart"/>
      <w:r w:rsidRPr="003575D7">
        <w:rPr>
          <w:rFonts w:eastAsia="Times New Roman" w:cs="Times New Roman"/>
          <w:lang w:eastAsia="de-DE"/>
        </w:rPr>
        <w:t>die</w:t>
      </w:r>
      <w:proofErr w:type="gramEnd"/>
      <w:r w:rsidRPr="003575D7">
        <w:rPr>
          <w:rFonts w:eastAsia="Times New Roman" w:cs="Times New Roman"/>
          <w:lang w:eastAsia="de-DE"/>
        </w:rPr>
        <w:t xml:space="preserve"> BA ein Sanktionssystem in der Grundsicherung für erforderlich hält. Die geringe Sanktionsquote von knapp drei Prozent zeige im Übrigen, dass mit dem Instrumentarium verantwortungsbewusst umgegangen werde.</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Sowohl der Deutsche Städtetag als auch der Deutsche Landkreistag kritisierten die unterschiedliche Behandlung von jungen und älteren Arbeitslosen. Schon im Interesse der Verwaltungsvereinfachung sollten künftig auch für die Jüngeren die Regelungen der Über-25-Jährigen gelten, forderte die Vertreterin des Städtetages. </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Für eine stärkere Gewichtung des Förderns im System des "Forderns und Förderns" sprach sich der Vertreter des DGB aus. Die Eingliederungsvereinbarungen müssten individueller als bisher auf den Einzelnen zugeschnitten seien. Außerdem sollten Leistungskürzungen nach Ansicht des DGB auf maximal 30 Prozent beschränkt werden. Bei einer "100-Prozent-Sanktion", sei das Existenzminimum nicht mehr gesichert, gab die Vertreterin des Vereins für öffentliche und private Vorsorge zu bedenken. Bei einer Kürzung um mehr als 30 Prozent sollten daher ergänzende Sachleistungen ohne Antrag angeboten werden.</w:t>
      </w: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Die verschärften Sanktionen für Jugendliche seien nicht vertretbar, hieß es von Seiten des Deutschen Caritasverbandes. Sie könnten durchaus kontraproduktiv wirken, wenn etwa durch einen Verlust der Wohnung die Jugendlichen in kriminelle Bereiche abrutschen. Für eine Abschaffung der Sanktionen plädierte der Vertreter der Diakonie Deutschland. Keinesfalls dürfe es aber künftig mehr als 30-prozentige Sanktionen geben, forderte er.</w:t>
      </w:r>
    </w:p>
    <w:p w:rsidR="003575D7" w:rsidRPr="003575D7" w:rsidRDefault="003575D7" w:rsidP="003575D7">
      <w:pPr>
        <w:spacing w:after="0" w:line="240" w:lineRule="auto"/>
        <w:rPr>
          <w:rFonts w:eastAsia="Times New Roman" w:cs="Times New Roman"/>
          <w:lang w:eastAsia="de-DE"/>
        </w:rPr>
      </w:pPr>
    </w:p>
    <w:p w:rsidR="003575D7" w:rsidRPr="003575D7" w:rsidRDefault="003575D7" w:rsidP="003575D7">
      <w:pPr>
        <w:spacing w:before="100" w:beforeAutospacing="1" w:after="100" w:afterAutospacing="1" w:line="240" w:lineRule="auto"/>
        <w:rPr>
          <w:rFonts w:eastAsia="Times New Roman" w:cs="Times New Roman"/>
          <w:lang w:eastAsia="de-DE"/>
        </w:rPr>
      </w:pPr>
      <w:r w:rsidRPr="003575D7">
        <w:rPr>
          <w:rFonts w:eastAsia="Times New Roman" w:cs="Times New Roman"/>
          <w:lang w:eastAsia="de-DE"/>
        </w:rPr>
        <w:t xml:space="preserve">Auch unterwegs aktuell informiert mit der </w:t>
      </w:r>
      <w:r w:rsidRPr="003575D7">
        <w:rPr>
          <w:rFonts w:eastAsia="Times New Roman" w:cs="Times New Roman"/>
          <w:b/>
          <w:bCs/>
          <w:lang w:eastAsia="de-DE"/>
        </w:rPr>
        <w:t xml:space="preserve">kostenlosen </w:t>
      </w:r>
      <w:proofErr w:type="spellStart"/>
      <w:r w:rsidRPr="003575D7">
        <w:rPr>
          <w:rFonts w:eastAsia="Times New Roman" w:cs="Times New Roman"/>
          <w:b/>
          <w:bCs/>
          <w:lang w:eastAsia="de-DE"/>
        </w:rPr>
        <w:t>App</w:t>
      </w:r>
      <w:proofErr w:type="spellEnd"/>
      <w:r w:rsidRPr="003575D7">
        <w:rPr>
          <w:rFonts w:eastAsia="Times New Roman" w:cs="Times New Roman"/>
          <w:b/>
          <w:bCs/>
          <w:lang w:eastAsia="de-DE"/>
        </w:rPr>
        <w:t xml:space="preserve"> "Deutscher Bundestag"</w:t>
      </w:r>
      <w:r w:rsidRPr="003575D7">
        <w:rPr>
          <w:rFonts w:eastAsia="Times New Roman" w:cs="Times New Roman"/>
          <w:lang w:eastAsia="de-DE"/>
        </w:rPr>
        <w:t xml:space="preserve"> und unter </w:t>
      </w:r>
      <w:r w:rsidRPr="003575D7">
        <w:rPr>
          <w:rFonts w:eastAsia="Times New Roman" w:cs="Times New Roman"/>
          <w:b/>
          <w:bCs/>
          <w:lang w:eastAsia="de-DE"/>
        </w:rPr>
        <w:t>m.bundestag.de</w:t>
      </w:r>
      <w:r w:rsidRPr="003575D7">
        <w:rPr>
          <w:rFonts w:eastAsia="Times New Roman" w:cs="Times New Roman"/>
          <w:lang w:eastAsia="de-DE"/>
        </w:rPr>
        <w:t>.</w:t>
      </w:r>
    </w:p>
    <w:p w:rsidR="003575D7" w:rsidRPr="003575D7" w:rsidRDefault="003575D7" w:rsidP="003575D7">
      <w:pPr>
        <w:spacing w:after="240" w:line="240" w:lineRule="auto"/>
        <w:rPr>
          <w:rFonts w:eastAsia="Times New Roman" w:cs="Times New Roman"/>
          <w:lang w:eastAsia="de-DE"/>
        </w:rPr>
      </w:pPr>
    </w:p>
    <w:p w:rsidR="00D44D0F" w:rsidRDefault="003575D7"/>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75D7"/>
    <w:rsid w:val="00097EE2"/>
    <w:rsid w:val="002111A1"/>
    <w:rsid w:val="003575D7"/>
    <w:rsid w:val="00530D0A"/>
    <w:rsid w:val="005619A1"/>
    <w:rsid w:val="006147A5"/>
    <w:rsid w:val="008B3401"/>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357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575D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75D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575D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575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575D7"/>
    <w:rPr>
      <w:color w:val="0000FF"/>
      <w:u w:val="single"/>
    </w:rPr>
  </w:style>
  <w:style w:type="character" w:styleId="Fett">
    <w:name w:val="Strong"/>
    <w:basedOn w:val="Absatz-Standardschriftart"/>
    <w:uiPriority w:val="22"/>
    <w:qFormat/>
    <w:rsid w:val="003575D7"/>
    <w:rPr>
      <w:b/>
      <w:bCs/>
    </w:rPr>
  </w:style>
</w:styles>
</file>

<file path=word/webSettings.xml><?xml version="1.0" encoding="utf-8"?>
<w:webSettings xmlns:r="http://schemas.openxmlformats.org/officeDocument/2006/relationships" xmlns:w="http://schemas.openxmlformats.org/wordprocessingml/2006/main">
  <w:divs>
    <w:div w:id="413361582">
      <w:bodyDiv w:val="1"/>
      <w:marLeft w:val="0"/>
      <w:marRight w:val="0"/>
      <w:marTop w:val="0"/>
      <w:marBottom w:val="0"/>
      <w:divBdr>
        <w:top w:val="none" w:sz="0" w:space="0" w:color="auto"/>
        <w:left w:val="none" w:sz="0" w:space="0" w:color="auto"/>
        <w:bottom w:val="none" w:sz="0" w:space="0" w:color="auto"/>
        <w:right w:val="none" w:sz="0" w:space="0" w:color="auto"/>
      </w:divBdr>
      <w:divsChild>
        <w:div w:id="313726755">
          <w:marLeft w:val="0"/>
          <w:marRight w:val="0"/>
          <w:marTop w:val="0"/>
          <w:marBottom w:val="0"/>
          <w:divBdr>
            <w:top w:val="none" w:sz="0" w:space="0" w:color="auto"/>
            <w:left w:val="none" w:sz="0" w:space="0" w:color="auto"/>
            <w:bottom w:val="none" w:sz="0" w:space="0" w:color="auto"/>
            <w:right w:val="none" w:sz="0" w:space="0" w:color="auto"/>
          </w:divBdr>
        </w:div>
        <w:div w:id="49214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p.bundestag.de/btd/18/019/1801963.pdf" TargetMode="External"/><Relationship Id="rId5" Type="http://schemas.openxmlformats.org/officeDocument/2006/relationships/hyperlink" Target="http://dip.bundestag.de/btd/18/011/1801115.pdf" TargetMode="External"/><Relationship Id="rId4" Type="http://schemas.openxmlformats.org/officeDocument/2006/relationships/hyperlink" Target="http://dip.bundestag.de/btd/18/035/1803549.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3678</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2015-07-03T11:37:00Z</dcterms:created>
  <dcterms:modified xsi:type="dcterms:W3CDTF">2015-07-03T11:39:00Z</dcterms:modified>
</cp:coreProperties>
</file>