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D7" w:rsidRPr="003575D7" w:rsidRDefault="003575D7" w:rsidP="003575D7">
      <w:pPr>
        <w:spacing w:before="100" w:beforeAutospacing="1" w:after="100" w:afterAutospacing="1" w:line="240" w:lineRule="auto"/>
        <w:jc w:val="center"/>
        <w:outlineLvl w:val="0"/>
        <w:rPr>
          <w:rFonts w:eastAsia="Times New Roman" w:cs="Times New Roman"/>
          <w:b/>
          <w:bCs/>
          <w:kern w:val="36"/>
          <w:sz w:val="32"/>
          <w:szCs w:val="32"/>
          <w:lang w:eastAsia="de-DE"/>
        </w:rPr>
      </w:pPr>
      <w:r w:rsidRPr="003575D7">
        <w:rPr>
          <w:rFonts w:eastAsia="Times New Roman" w:cs="Times New Roman"/>
          <w:b/>
          <w:bCs/>
          <w:kern w:val="36"/>
          <w:sz w:val="32"/>
          <w:szCs w:val="32"/>
          <w:lang w:eastAsia="de-DE"/>
        </w:rPr>
        <w:t>Streit um SGB-II-Sanktionen</w:t>
      </w:r>
    </w:p>
    <w:p w:rsidR="003575D7" w:rsidRPr="003575D7" w:rsidRDefault="003575D7" w:rsidP="003575D7">
      <w:pPr>
        <w:spacing w:before="100" w:beforeAutospacing="1" w:after="100" w:afterAutospacing="1" w:line="240" w:lineRule="auto"/>
        <w:outlineLvl w:val="1"/>
        <w:rPr>
          <w:rFonts w:eastAsia="Times New Roman" w:cs="Times New Roman"/>
          <w:b/>
          <w:bCs/>
          <w:lang w:eastAsia="de-DE"/>
        </w:rPr>
      </w:pPr>
      <w:r w:rsidRPr="003575D7">
        <w:rPr>
          <w:rFonts w:eastAsia="Times New Roman" w:cs="Times New Roman"/>
          <w:b/>
          <w:bCs/>
          <w:lang w:eastAsia="de-DE"/>
        </w:rPr>
        <w:t>Arbeit und Soziales/Anhörung - 29.06.2015</w:t>
      </w:r>
    </w:p>
    <w:p w:rsidR="003575D7" w:rsidRPr="003575D7" w:rsidRDefault="003575D7" w:rsidP="003575D7">
      <w:pPr>
        <w:spacing w:before="100" w:beforeAutospacing="1" w:after="100" w:afterAutospacing="1" w:line="240" w:lineRule="auto"/>
        <w:rPr>
          <w:rFonts w:eastAsia="Times New Roman" w:cs="Times New Roman"/>
          <w:lang w:eastAsia="de-DE"/>
        </w:rPr>
      </w:pPr>
      <w:r w:rsidRPr="003575D7">
        <w:rPr>
          <w:rFonts w:eastAsia="Times New Roman" w:cs="Times New Roman"/>
          <w:lang w:eastAsia="de-DE"/>
        </w:rPr>
        <w:t>Berlin: (</w:t>
      </w:r>
      <w:proofErr w:type="spellStart"/>
      <w:r w:rsidRPr="003575D7">
        <w:rPr>
          <w:rFonts w:eastAsia="Times New Roman" w:cs="Times New Roman"/>
          <w:lang w:eastAsia="de-DE"/>
        </w:rPr>
        <w:t>hib</w:t>
      </w:r>
      <w:proofErr w:type="spellEnd"/>
      <w:r w:rsidRPr="003575D7">
        <w:rPr>
          <w:rFonts w:eastAsia="Times New Roman" w:cs="Times New Roman"/>
          <w:lang w:eastAsia="de-DE"/>
        </w:rPr>
        <w:t>/HAU) Bei einer öffentlichen Anhörung des Ausschusses für Arbeit und Soziales am Montagnachmittag sprach sich eine Mehrheit der geladenen Experten für die Beibehaltung von Sanktionsmöglichkeiten im Bereich der Grundsicherung für Arbeitssuchende (SGB II) aus. Vertreter aus dem Bereich der Wirtschaft nannten das System der Sanktionen ausgewogen. Auch Landkreistag und Städtetag sprachen sich - ebenso wie der Deutsche Gewerkschaftsbund (DGB) gegen eine generelle Abschaffung oder ein Moratorium der Sanktionen aus, wie es die Fraktionen Die Linke (</w:t>
      </w:r>
      <w:hyperlink r:id="rId4" w:tgtFrame="_blank" w:tooltip="Die PDF-Datei Drucksache 18/3549 öffnet sich in einem neuen Fenster" w:history="1">
        <w:r w:rsidRPr="003575D7">
          <w:rPr>
            <w:rFonts w:eastAsia="Times New Roman" w:cs="Times New Roman"/>
            <w:color w:val="0000FF"/>
            <w:u w:val="single"/>
            <w:lang w:eastAsia="de-DE"/>
          </w:rPr>
          <w:t>18/3549</w:t>
        </w:r>
      </w:hyperlink>
      <w:r w:rsidRPr="003575D7">
        <w:rPr>
          <w:rFonts w:eastAsia="Times New Roman" w:cs="Times New Roman"/>
          <w:lang w:eastAsia="de-DE"/>
        </w:rPr>
        <w:t xml:space="preserve">, </w:t>
      </w:r>
      <w:hyperlink r:id="rId5" w:tgtFrame="_blank" w:tooltip="Die PDF-Datei Drucksache 18/1115 öffnet sich in einem neuen Fenster" w:history="1">
        <w:r w:rsidRPr="003575D7">
          <w:rPr>
            <w:rFonts w:eastAsia="Times New Roman" w:cs="Times New Roman"/>
            <w:color w:val="0000FF"/>
            <w:u w:val="single"/>
            <w:lang w:eastAsia="de-DE"/>
          </w:rPr>
          <w:t>18/1115</w:t>
        </w:r>
      </w:hyperlink>
      <w:r w:rsidRPr="003575D7">
        <w:rPr>
          <w:rFonts w:eastAsia="Times New Roman" w:cs="Times New Roman"/>
          <w:lang w:eastAsia="de-DE"/>
        </w:rPr>
        <w:t>) und Bündnis 90/Die Grünen (</w:t>
      </w:r>
      <w:hyperlink r:id="rId6" w:tgtFrame="_blank" w:tooltip="Die PDF-Datei Drucksache 18/1963 öffnet sich in einem neuen Fenster" w:history="1">
        <w:r w:rsidRPr="003575D7">
          <w:rPr>
            <w:rFonts w:eastAsia="Times New Roman" w:cs="Times New Roman"/>
            <w:color w:val="0000FF"/>
            <w:u w:val="single"/>
            <w:lang w:eastAsia="de-DE"/>
          </w:rPr>
          <w:t>18/1963</w:t>
        </w:r>
      </w:hyperlink>
      <w:r w:rsidRPr="003575D7">
        <w:rPr>
          <w:rFonts w:eastAsia="Times New Roman" w:cs="Times New Roman"/>
          <w:lang w:eastAsia="de-DE"/>
        </w:rPr>
        <w:t>) in Anträgen gefordert hatten. Eine klare Ablehnung der Sanktionsregelungen kam von der Diakonie Deutschland.</w:t>
      </w:r>
    </w:p>
    <w:p w:rsidR="003575D7" w:rsidRPr="003575D7" w:rsidRDefault="003575D7" w:rsidP="003575D7">
      <w:pPr>
        <w:spacing w:before="100" w:beforeAutospacing="1" w:after="100" w:afterAutospacing="1" w:line="240" w:lineRule="auto"/>
        <w:rPr>
          <w:rFonts w:eastAsia="Times New Roman" w:cs="Times New Roman"/>
          <w:lang w:eastAsia="de-DE"/>
        </w:rPr>
      </w:pPr>
      <w:r w:rsidRPr="003575D7">
        <w:rPr>
          <w:rFonts w:eastAsia="Times New Roman" w:cs="Times New Roman"/>
          <w:lang w:eastAsia="de-DE"/>
        </w:rPr>
        <w:t>Aus Sicht der Bundesvereinigung Deutscher Arbeitgeberverbände (BDA) sind die "großen Erfolge" bei der Integration Langzeitarbeitsloser in den Arbeitsmarkt auch auf die Sanktionen zurückzuführen. Diese seien ein Kernelement des Prinzips von "Fördern und Fordern", hieß es von der BDA ebenso wie vom Zentralverband des Deutschen Handwerks (ZDH). Die Regelung, wonach Unter-25-Jährige härtere Sanktionen befürchten müssen als Über-25-Jährige, ist nach Meinung der Vereinigung der Bayrischen Wirtschaft angemessen. Auch die BDA vertrat die Ansicht, dass diese Sanktionen zu einer stärkeren Kooperation der Arbeitssuchenden mit den Jobcentern führen würden. Von einer Abschwächung solle daher abgesehen werden, sagte die BDA-Vertreterin.</w:t>
      </w:r>
    </w:p>
    <w:p w:rsidR="003575D7" w:rsidRPr="003575D7" w:rsidRDefault="003575D7" w:rsidP="003575D7">
      <w:pPr>
        <w:spacing w:before="100" w:beforeAutospacing="1" w:after="100" w:afterAutospacing="1" w:line="240" w:lineRule="auto"/>
        <w:rPr>
          <w:rFonts w:eastAsia="Times New Roman" w:cs="Times New Roman"/>
          <w:lang w:eastAsia="de-DE"/>
        </w:rPr>
      </w:pPr>
      <w:r w:rsidRPr="003575D7">
        <w:rPr>
          <w:rFonts w:eastAsia="Times New Roman" w:cs="Times New Roman"/>
          <w:lang w:eastAsia="de-DE"/>
        </w:rPr>
        <w:t>Ob die Sanktionen tatsächlich die erwähnten positiven Effekte erzielen ist hingegen nach Ansicht des Einzelsachverständigen Helmut Apel nicht wissenschaftlich nachweisbar. Festzustellen sei aber, so der Sozialwissenschaftler, dass die Sanktionen "gravierende Auswirkungen" auf das Leben der Betroffenen hätten. Apel sprach sich für ein Moratorium bei den Sanktionen aus, "um darüber nachzudenken, was Angemessenheit im Falle der Sanktionen bedeutet".</w:t>
      </w:r>
    </w:p>
    <w:p w:rsidR="003575D7" w:rsidRPr="003575D7" w:rsidRDefault="003575D7" w:rsidP="003575D7">
      <w:pPr>
        <w:spacing w:before="100" w:beforeAutospacing="1" w:after="100" w:afterAutospacing="1" w:line="240" w:lineRule="auto"/>
        <w:rPr>
          <w:rFonts w:eastAsia="Times New Roman" w:cs="Times New Roman"/>
          <w:lang w:eastAsia="de-DE"/>
        </w:rPr>
      </w:pPr>
      <w:r w:rsidRPr="003575D7">
        <w:rPr>
          <w:rFonts w:eastAsia="Times New Roman" w:cs="Times New Roman"/>
          <w:lang w:eastAsia="de-DE"/>
        </w:rPr>
        <w:t xml:space="preserve">Unterschiedliche Regelungen für verschiedene Altersgruppen führten zu Intransparenz, sagte der Vertreter der Bundesagentur für Arbeit (BA). Zugleich machte er deutlich, dass </w:t>
      </w:r>
      <w:proofErr w:type="gramStart"/>
      <w:r w:rsidRPr="003575D7">
        <w:rPr>
          <w:rFonts w:eastAsia="Times New Roman" w:cs="Times New Roman"/>
          <w:lang w:eastAsia="de-DE"/>
        </w:rPr>
        <w:t>die</w:t>
      </w:r>
      <w:proofErr w:type="gramEnd"/>
      <w:r w:rsidRPr="003575D7">
        <w:rPr>
          <w:rFonts w:eastAsia="Times New Roman" w:cs="Times New Roman"/>
          <w:lang w:eastAsia="de-DE"/>
        </w:rPr>
        <w:t xml:space="preserve"> BA ein Sanktionssystem in der Grundsicherung für erforderlich hält. Die geringe Sanktionsquote von knapp drei Prozent zeige im Übrigen, dass mit dem Instrumentarium verantwortungsbewusst umgegangen werde.</w:t>
      </w:r>
    </w:p>
    <w:p w:rsidR="003575D7" w:rsidRPr="003575D7" w:rsidRDefault="003575D7" w:rsidP="003575D7">
      <w:pPr>
        <w:spacing w:before="100" w:beforeAutospacing="1" w:after="100" w:afterAutospacing="1" w:line="240" w:lineRule="auto"/>
        <w:rPr>
          <w:rFonts w:eastAsia="Times New Roman" w:cs="Times New Roman"/>
          <w:lang w:eastAsia="de-DE"/>
        </w:rPr>
      </w:pPr>
      <w:r w:rsidRPr="003575D7">
        <w:rPr>
          <w:rFonts w:eastAsia="Times New Roman" w:cs="Times New Roman"/>
          <w:lang w:eastAsia="de-DE"/>
        </w:rPr>
        <w:t>Sowohl der Deutsche Städtetag als auch der Deutsche Landkreistag kritisierten die unterschiedliche Behandlung von jungen und älteren Arbeitslosen. Schon im Interesse der Verwaltungsvereinfachung sollten künftig auch für die Jüngeren die Regelungen der Über-25-Jährigen gelten, forderte die Vertreterin des Städtetages. </w:t>
      </w:r>
    </w:p>
    <w:p w:rsidR="003575D7" w:rsidRPr="003575D7" w:rsidRDefault="003575D7" w:rsidP="003575D7">
      <w:pPr>
        <w:spacing w:before="100" w:beforeAutospacing="1" w:after="100" w:afterAutospacing="1" w:line="240" w:lineRule="auto"/>
        <w:rPr>
          <w:rFonts w:eastAsia="Times New Roman" w:cs="Times New Roman"/>
          <w:lang w:eastAsia="de-DE"/>
        </w:rPr>
      </w:pPr>
      <w:r w:rsidRPr="003575D7">
        <w:rPr>
          <w:rFonts w:eastAsia="Times New Roman" w:cs="Times New Roman"/>
          <w:lang w:eastAsia="de-DE"/>
        </w:rPr>
        <w:t>Für eine stärkere Gewichtung des Förderns im System des "Forderns und Förderns" sprach sich der Vertreter des DGB aus. Die Eingliederungsvereinbarungen müssten individueller als bisher auf den Einzelnen zugeschnitten seien. Außerdem sollten Leistungskürzungen nach Ansicht des DGB auf maximal 30 Prozent beschränkt werden. Bei einer "100-Prozent-Sanktion", sei das Existenzminimum nicht mehr gesichert, gab die Vertreterin des Vereins für öffentliche und private Vorsorge zu bedenken. Bei einer Kürzung um mehr als 30 Prozent sollten daher ergänzende Sachleistungen ohne Antrag angeboten werden.</w:t>
      </w:r>
    </w:p>
    <w:p w:rsidR="003575D7" w:rsidRPr="003575D7" w:rsidRDefault="003575D7" w:rsidP="003575D7">
      <w:pPr>
        <w:spacing w:before="100" w:beforeAutospacing="1" w:after="100" w:afterAutospacing="1" w:line="240" w:lineRule="auto"/>
        <w:rPr>
          <w:rFonts w:eastAsia="Times New Roman" w:cs="Times New Roman"/>
          <w:lang w:eastAsia="de-DE"/>
        </w:rPr>
      </w:pPr>
      <w:r w:rsidRPr="003575D7">
        <w:rPr>
          <w:rFonts w:eastAsia="Times New Roman" w:cs="Times New Roman"/>
          <w:lang w:eastAsia="de-DE"/>
        </w:rPr>
        <w:t>Die verschärften Sanktionen für Jugendliche seien nicht vertretbar, hieß es von Seiten des Deutschen Caritasverbandes. Sie könnten durchaus kontraproduktiv wirken, wenn etwa durch einen Verlust der Wohnung die Jugendlichen in kriminelle Bereiche abrutschen. Für eine Abschaffung der Sanktionen plädierte der Vertreter der Diakonie Deutschland. Keinesfalls dürfe es aber künftig mehr als 30-prozentige Sanktionen geben, forderte er.</w:t>
      </w:r>
    </w:p>
    <w:p w:rsidR="003575D7" w:rsidRPr="003575D7" w:rsidRDefault="003575D7" w:rsidP="003575D7">
      <w:pPr>
        <w:spacing w:after="0" w:line="240" w:lineRule="auto"/>
        <w:rPr>
          <w:rFonts w:eastAsia="Times New Roman" w:cs="Times New Roman"/>
          <w:lang w:eastAsia="de-DE"/>
        </w:rPr>
      </w:pPr>
    </w:p>
    <w:p w:rsidR="003575D7" w:rsidRPr="003575D7" w:rsidRDefault="003575D7" w:rsidP="003575D7">
      <w:pPr>
        <w:spacing w:before="100" w:beforeAutospacing="1" w:after="100" w:afterAutospacing="1" w:line="240" w:lineRule="auto"/>
        <w:rPr>
          <w:rFonts w:eastAsia="Times New Roman" w:cs="Times New Roman"/>
          <w:lang w:eastAsia="de-DE"/>
        </w:rPr>
      </w:pPr>
      <w:r w:rsidRPr="003575D7">
        <w:rPr>
          <w:rFonts w:eastAsia="Times New Roman" w:cs="Times New Roman"/>
          <w:lang w:eastAsia="de-DE"/>
        </w:rPr>
        <w:t xml:space="preserve">Auch unterwegs aktuell informiert mit der </w:t>
      </w:r>
      <w:r w:rsidRPr="003575D7">
        <w:rPr>
          <w:rFonts w:eastAsia="Times New Roman" w:cs="Times New Roman"/>
          <w:b/>
          <w:bCs/>
          <w:lang w:eastAsia="de-DE"/>
        </w:rPr>
        <w:t xml:space="preserve">kostenlosen </w:t>
      </w:r>
      <w:proofErr w:type="spellStart"/>
      <w:r w:rsidRPr="003575D7">
        <w:rPr>
          <w:rFonts w:eastAsia="Times New Roman" w:cs="Times New Roman"/>
          <w:b/>
          <w:bCs/>
          <w:lang w:eastAsia="de-DE"/>
        </w:rPr>
        <w:t>App</w:t>
      </w:r>
      <w:proofErr w:type="spellEnd"/>
      <w:r w:rsidRPr="003575D7">
        <w:rPr>
          <w:rFonts w:eastAsia="Times New Roman" w:cs="Times New Roman"/>
          <w:b/>
          <w:bCs/>
          <w:lang w:eastAsia="de-DE"/>
        </w:rPr>
        <w:t xml:space="preserve"> "Deutscher Bundestag"</w:t>
      </w:r>
      <w:r w:rsidRPr="003575D7">
        <w:rPr>
          <w:rFonts w:eastAsia="Times New Roman" w:cs="Times New Roman"/>
          <w:lang w:eastAsia="de-DE"/>
        </w:rPr>
        <w:t xml:space="preserve"> und unter </w:t>
      </w:r>
      <w:r w:rsidRPr="003575D7">
        <w:rPr>
          <w:rFonts w:eastAsia="Times New Roman" w:cs="Times New Roman"/>
          <w:b/>
          <w:bCs/>
          <w:lang w:eastAsia="de-DE"/>
        </w:rPr>
        <w:t>m.bundestag.de</w:t>
      </w:r>
      <w:r w:rsidRPr="003575D7">
        <w:rPr>
          <w:rFonts w:eastAsia="Times New Roman" w:cs="Times New Roman"/>
          <w:lang w:eastAsia="de-DE"/>
        </w:rPr>
        <w:t>.</w:t>
      </w:r>
    </w:p>
    <w:p w:rsidR="003575D7" w:rsidRPr="003575D7" w:rsidRDefault="003575D7" w:rsidP="003575D7">
      <w:pPr>
        <w:spacing w:after="240" w:line="240" w:lineRule="auto"/>
        <w:rPr>
          <w:rFonts w:eastAsia="Times New Roman" w:cs="Times New Roman"/>
          <w:lang w:eastAsia="de-DE"/>
        </w:rPr>
      </w:pPr>
    </w:p>
    <w:p w:rsidR="00D44D0F" w:rsidRDefault="003575D7"/>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575D7"/>
    <w:rsid w:val="00097EE2"/>
    <w:rsid w:val="002111A1"/>
    <w:rsid w:val="003575D7"/>
    <w:rsid w:val="00530D0A"/>
    <w:rsid w:val="005619A1"/>
    <w:rsid w:val="006147A5"/>
    <w:rsid w:val="008B3401"/>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357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575D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75D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575D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575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575D7"/>
    <w:rPr>
      <w:color w:val="0000FF"/>
      <w:u w:val="single"/>
    </w:rPr>
  </w:style>
  <w:style w:type="character" w:styleId="Fett">
    <w:name w:val="Strong"/>
    <w:basedOn w:val="Absatz-Standardschriftart"/>
    <w:uiPriority w:val="22"/>
    <w:qFormat/>
    <w:rsid w:val="003575D7"/>
    <w:rPr>
      <w:b/>
      <w:bCs/>
    </w:rPr>
  </w:style>
</w:styles>
</file>

<file path=word/webSettings.xml><?xml version="1.0" encoding="utf-8"?>
<w:webSettings xmlns:r="http://schemas.openxmlformats.org/officeDocument/2006/relationships" xmlns:w="http://schemas.openxmlformats.org/wordprocessingml/2006/main">
  <w:divs>
    <w:div w:id="413361582">
      <w:bodyDiv w:val="1"/>
      <w:marLeft w:val="0"/>
      <w:marRight w:val="0"/>
      <w:marTop w:val="0"/>
      <w:marBottom w:val="0"/>
      <w:divBdr>
        <w:top w:val="none" w:sz="0" w:space="0" w:color="auto"/>
        <w:left w:val="none" w:sz="0" w:space="0" w:color="auto"/>
        <w:bottom w:val="none" w:sz="0" w:space="0" w:color="auto"/>
        <w:right w:val="none" w:sz="0" w:space="0" w:color="auto"/>
      </w:divBdr>
      <w:divsChild>
        <w:div w:id="313726755">
          <w:marLeft w:val="0"/>
          <w:marRight w:val="0"/>
          <w:marTop w:val="0"/>
          <w:marBottom w:val="0"/>
          <w:divBdr>
            <w:top w:val="none" w:sz="0" w:space="0" w:color="auto"/>
            <w:left w:val="none" w:sz="0" w:space="0" w:color="auto"/>
            <w:bottom w:val="none" w:sz="0" w:space="0" w:color="auto"/>
            <w:right w:val="none" w:sz="0" w:space="0" w:color="auto"/>
          </w:divBdr>
        </w:div>
        <w:div w:id="49214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p.bundestag.de/btd/18/019/1801963.pdf" TargetMode="External"/><Relationship Id="rId5" Type="http://schemas.openxmlformats.org/officeDocument/2006/relationships/hyperlink" Target="http://dip.bundestag.de/btd/18/011/1801115.pdf" TargetMode="External"/><Relationship Id="rId4" Type="http://schemas.openxmlformats.org/officeDocument/2006/relationships/hyperlink" Target="http://dip.bundestag.de/btd/18/035/1803549.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3678</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2015-07-03T11:37:00Z</dcterms:created>
  <dcterms:modified xsi:type="dcterms:W3CDTF">2015-07-03T11:39:00Z</dcterms:modified>
</cp:coreProperties>
</file>